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before="80"/>
        <w:ind w:left="270" w:right="209" w:hanging="5"/>
        <w:jc w:val="center"/>
        <w:rPr>
          <w:sz w:val="26"/>
        </w:rPr>
      </w:pPr>
      <w:r>
        <w:rPr>
          <w:sz w:val="26"/>
        </w:rPr>
        <w:t>Zápisnica zo zasadnutia zhromaždenia pozemkového spoločenstva Urbár Bánovce konaného korešpondenčnou formou dňa 11.11.2022 v priestoroch Klubu dôchodcov na ulici Za Valy v Bánovciach nad Bebravou</w:t>
      </w:r>
    </w:p>
    <w:p>
      <w:pPr>
        <w:pStyle w:val="BodyText"/>
        <w:ind w:left="0"/>
        <w:rPr>
          <w:sz w:val="28"/>
        </w:rPr>
      </w:pPr>
    </w:p>
    <w:p>
      <w:pPr>
        <w:pStyle w:val="BodyText"/>
        <w:spacing w:before="11"/>
        <w:ind w:left="0"/>
        <w:rPr>
          <w:sz w:val="27"/>
        </w:rPr>
      </w:pPr>
    </w:p>
    <w:p>
      <w:pPr>
        <w:pStyle w:val="BodyText"/>
      </w:pPr>
      <w:r>
        <w:rPr/>
        <w:t>Na základe rozhodnutia výboru v súlade so zákonom 62/2020 Z. z. o niektorých</w:t>
      </w:r>
    </w:p>
    <w:p>
      <w:pPr>
        <w:pStyle w:val="BodyText"/>
        <w:spacing w:line="259" w:lineRule="auto" w:before="22"/>
        <w:ind w:right="430"/>
      </w:pPr>
      <w:r>
        <w:rPr/>
        <w:t>mimoriadnych opatreniach v súvislosti so šírením nebezpečnej nákazlivej ľudskej choroby Covid-19, ktorým sa menia a dopĺňajú niektoré zákony, sa uskutočnilo zasadnutie zhromaždenia pozemkového spoločenstva Urbár Bánovce korešpondenčnou formou.</w:t>
      </w:r>
    </w:p>
    <w:p>
      <w:pPr>
        <w:pStyle w:val="BodyText"/>
        <w:spacing w:line="259" w:lineRule="auto"/>
        <w:ind w:right="143"/>
      </w:pPr>
      <w:r>
        <w:rPr/>
        <w:t>Oznámenie o uskutočnení tohto zasadnutia zhromaždenia obdržali členovia spoločenstva písomnou formou a je priložené k prvopisu zápisnice. V prílohe tohto oznámenia boli uvedené materiály, ktoré boli predmetom rokovania bodov 3. až 6. nižšie uvedeného programu. Materiály týkajúce sa bodov 1. a 2. programu uvedeného nižšie boli uverejnené na internetovej stránke pozemkového spoločenstva:</w:t>
      </w:r>
    </w:p>
    <w:p>
      <w:pPr>
        <w:pStyle w:val="BodyText"/>
        <w:spacing w:line="259" w:lineRule="auto"/>
        <w:ind w:right="2775"/>
      </w:pPr>
      <w:hyperlink r:id="rId7">
        <w:r>
          <w:rPr>
            <w:u w:val="single"/>
          </w:rPr>
          <w:t>https://urbar-banovce.sk/podklady-korespondencneho-hlasovania/</w:t>
        </w:r>
      </w:hyperlink>
      <w:r>
        <w:rPr/>
        <w:t> Heslo: podklady2022hlasovanie</w:t>
      </w:r>
    </w:p>
    <w:p>
      <w:pPr>
        <w:pStyle w:val="BodyText"/>
        <w:ind w:right="403"/>
      </w:pPr>
      <w:r>
        <w:rPr/>
        <w:t>Materiály sú priložené k prvopisu zápisnice. Prílohou oznámenia o uskutočnení zasadnutia zhromaždenia bol hlasovací lístok, ktorého vzor je priložený k prvopisu zápisnice.</w:t>
      </w:r>
    </w:p>
    <w:p>
      <w:pPr>
        <w:pStyle w:val="BodyText"/>
        <w:spacing w:before="9"/>
        <w:ind w:left="0"/>
        <w:rPr>
          <w:sz w:val="23"/>
        </w:rPr>
      </w:pPr>
    </w:p>
    <w:p>
      <w:pPr>
        <w:pStyle w:val="BodyText"/>
        <w:spacing w:before="1"/>
        <w:ind w:right="83"/>
      </w:pPr>
      <w:r>
        <w:rPr/>
        <w:t>Program zasadnutia zhromaždenia pozemkového spoločenstva Urbár Bánovce uskutočneného korešpondenčnou formou dňa 11.11.2022:</w:t>
      </w:r>
    </w:p>
    <w:p>
      <w:pPr>
        <w:pStyle w:val="ListParagraph"/>
        <w:numPr>
          <w:ilvl w:val="0"/>
          <w:numId w:val="1"/>
        </w:numPr>
        <w:tabs>
          <w:tab w:pos="357" w:val="left" w:leader="none"/>
        </w:tabs>
        <w:spacing w:line="240" w:lineRule="auto" w:before="0" w:after="0"/>
        <w:ind w:left="356" w:right="0" w:hanging="241"/>
        <w:jc w:val="left"/>
        <w:rPr>
          <w:sz w:val="24"/>
        </w:rPr>
      </w:pPr>
      <w:r>
        <w:rPr>
          <w:sz w:val="24"/>
        </w:rPr>
        <w:t>Správa o hospodárení spoločenstva v roku 2021</w:t>
      </w:r>
    </w:p>
    <w:p>
      <w:pPr>
        <w:pStyle w:val="ListParagraph"/>
        <w:numPr>
          <w:ilvl w:val="0"/>
          <w:numId w:val="1"/>
        </w:numPr>
        <w:tabs>
          <w:tab w:pos="357" w:val="left" w:leader="none"/>
        </w:tabs>
        <w:spacing w:line="240" w:lineRule="auto" w:before="48" w:after="0"/>
        <w:ind w:left="356" w:right="0" w:hanging="241"/>
        <w:jc w:val="left"/>
        <w:rPr>
          <w:sz w:val="24"/>
        </w:rPr>
      </w:pPr>
      <w:r>
        <w:rPr>
          <w:sz w:val="24"/>
        </w:rPr>
        <w:t>Správa dozornej rady o kontrole činnosti a hospodárenia v roku</w:t>
      </w:r>
      <w:r>
        <w:rPr>
          <w:spacing w:val="-3"/>
          <w:sz w:val="24"/>
        </w:rPr>
        <w:t> </w:t>
      </w:r>
      <w:r>
        <w:rPr>
          <w:sz w:val="24"/>
        </w:rPr>
        <w:t>2021</w:t>
      </w:r>
    </w:p>
    <w:p>
      <w:pPr>
        <w:pStyle w:val="ListParagraph"/>
        <w:numPr>
          <w:ilvl w:val="0"/>
          <w:numId w:val="1"/>
        </w:numPr>
        <w:tabs>
          <w:tab w:pos="357" w:val="left" w:leader="none"/>
        </w:tabs>
        <w:spacing w:line="240" w:lineRule="auto" w:before="50" w:after="0"/>
        <w:ind w:left="356" w:right="0" w:hanging="241"/>
        <w:jc w:val="left"/>
        <w:rPr>
          <w:sz w:val="24"/>
        </w:rPr>
      </w:pPr>
      <w:r>
        <w:rPr>
          <w:sz w:val="24"/>
        </w:rPr>
        <w:t>Návrh na schválenie ročnej účtovnej závierky za účtovné obdobie</w:t>
      </w:r>
      <w:r>
        <w:rPr>
          <w:spacing w:val="-2"/>
          <w:sz w:val="24"/>
        </w:rPr>
        <w:t> </w:t>
      </w:r>
      <w:r>
        <w:rPr>
          <w:sz w:val="24"/>
        </w:rPr>
        <w:t>2021</w:t>
      </w:r>
    </w:p>
    <w:p>
      <w:pPr>
        <w:pStyle w:val="ListParagraph"/>
        <w:numPr>
          <w:ilvl w:val="0"/>
          <w:numId w:val="1"/>
        </w:numPr>
        <w:tabs>
          <w:tab w:pos="357" w:val="left" w:leader="none"/>
        </w:tabs>
        <w:spacing w:line="240" w:lineRule="auto" w:before="48" w:after="0"/>
        <w:ind w:left="356" w:right="0" w:hanging="241"/>
        <w:jc w:val="left"/>
        <w:rPr>
          <w:sz w:val="24"/>
        </w:rPr>
      </w:pPr>
      <w:r>
        <w:rPr>
          <w:sz w:val="24"/>
        </w:rPr>
        <w:t>Návrh na výplatu podielov za rok</w:t>
      </w:r>
      <w:r>
        <w:rPr>
          <w:spacing w:val="-4"/>
          <w:sz w:val="24"/>
        </w:rPr>
        <w:t> </w:t>
      </w:r>
      <w:r>
        <w:rPr>
          <w:sz w:val="24"/>
        </w:rPr>
        <w:t>2021</w:t>
      </w:r>
    </w:p>
    <w:p>
      <w:pPr>
        <w:pStyle w:val="ListParagraph"/>
        <w:numPr>
          <w:ilvl w:val="0"/>
          <w:numId w:val="1"/>
        </w:numPr>
        <w:tabs>
          <w:tab w:pos="357" w:val="left" w:leader="none"/>
        </w:tabs>
        <w:spacing w:line="240" w:lineRule="auto" w:before="49" w:after="0"/>
        <w:ind w:left="356" w:right="0" w:hanging="241"/>
        <w:jc w:val="left"/>
        <w:rPr>
          <w:sz w:val="24"/>
        </w:rPr>
      </w:pPr>
      <w:r>
        <w:rPr>
          <w:sz w:val="24"/>
        </w:rPr>
        <w:t>Návrh na výplatu nerozdeleného zisku za obdobie rokov 2014 až</w:t>
      </w:r>
      <w:r>
        <w:rPr>
          <w:spacing w:val="-3"/>
          <w:sz w:val="24"/>
        </w:rPr>
        <w:t> </w:t>
      </w:r>
      <w:r>
        <w:rPr>
          <w:sz w:val="24"/>
        </w:rPr>
        <w:t>2020</w:t>
      </w:r>
    </w:p>
    <w:p>
      <w:pPr>
        <w:pStyle w:val="ListParagraph"/>
        <w:numPr>
          <w:ilvl w:val="0"/>
          <w:numId w:val="1"/>
        </w:numPr>
        <w:tabs>
          <w:tab w:pos="357" w:val="left" w:leader="none"/>
        </w:tabs>
        <w:spacing w:line="240" w:lineRule="auto" w:before="50" w:after="0"/>
        <w:ind w:left="356" w:right="0" w:hanging="241"/>
        <w:jc w:val="left"/>
        <w:rPr>
          <w:sz w:val="24"/>
        </w:rPr>
      </w:pPr>
      <w:r>
        <w:rPr>
          <w:sz w:val="24"/>
        </w:rPr>
        <w:t>Návrh plánu hospodárenia na rok</w:t>
      </w:r>
      <w:r>
        <w:rPr>
          <w:spacing w:val="-2"/>
          <w:sz w:val="24"/>
        </w:rPr>
        <w:t> </w:t>
      </w:r>
      <w:r>
        <w:rPr>
          <w:sz w:val="24"/>
        </w:rPr>
        <w:t>2022</w:t>
      </w:r>
    </w:p>
    <w:p>
      <w:pPr>
        <w:pStyle w:val="ListParagraph"/>
        <w:numPr>
          <w:ilvl w:val="0"/>
          <w:numId w:val="1"/>
        </w:numPr>
        <w:tabs>
          <w:tab w:pos="357" w:val="left" w:leader="none"/>
        </w:tabs>
        <w:spacing w:line="240" w:lineRule="auto" w:before="48" w:after="0"/>
        <w:ind w:left="356" w:right="0" w:hanging="241"/>
        <w:jc w:val="left"/>
        <w:rPr>
          <w:sz w:val="24"/>
        </w:rPr>
      </w:pPr>
      <w:r>
        <w:rPr>
          <w:sz w:val="24"/>
        </w:rPr>
        <w:t>Korešpondenčné hlasovanie o navrhnutých</w:t>
      </w:r>
      <w:r>
        <w:rPr>
          <w:spacing w:val="-3"/>
          <w:sz w:val="24"/>
        </w:rPr>
        <w:t> </w:t>
      </w:r>
      <w:r>
        <w:rPr>
          <w:sz w:val="24"/>
        </w:rPr>
        <w:t>uzneseniach</w:t>
      </w:r>
    </w:p>
    <w:p>
      <w:pPr>
        <w:pStyle w:val="BodyText"/>
        <w:ind w:left="0"/>
      </w:pPr>
    </w:p>
    <w:p>
      <w:pPr>
        <w:pStyle w:val="BodyText"/>
      </w:pPr>
      <w:r>
        <w:rPr/>
        <w:t>K bodom 1. až 6. programu:</w:t>
      </w:r>
    </w:p>
    <w:p>
      <w:pPr>
        <w:pStyle w:val="BodyText"/>
        <w:ind w:right="457"/>
      </w:pPr>
      <w:r>
        <w:rPr/>
        <w:t>Predseda UBPS p. Ľubomír Janáč konštatoval, že materiály týkajúce sa bodov 3. až 6. programu boli doručené členom spoločenstva a materiály týkajúce sa bodov 1. a 2. boli zverejnené na internetovej stránke spoločenstva. V krátkosti zrekapituloval najdôležitejšie informácie obsiahnuté v týchto materiáloch.</w:t>
      </w:r>
    </w:p>
    <w:p>
      <w:pPr>
        <w:pStyle w:val="BodyText"/>
        <w:spacing w:before="1"/>
        <w:ind w:left="0"/>
      </w:pPr>
    </w:p>
    <w:p>
      <w:pPr>
        <w:pStyle w:val="BodyText"/>
      </w:pPr>
      <w:r>
        <w:rPr/>
        <w:t>K bodu 7. programu:</w:t>
      </w:r>
    </w:p>
    <w:p>
      <w:pPr>
        <w:pStyle w:val="BodyText"/>
        <w:ind w:right="350"/>
      </w:pPr>
      <w:r>
        <w:rPr/>
        <w:t>Členovia výboru a dozornej rady zrátali hlasovacie lístky. Originály hlasovacích lístkov sú priložené k prvopisu zápisnice. Z celkového počtu 240 hlasov bolo doručených do začiatku konania zasadnutia (11.11.2022 11:15 hod.) 152,85 hlasov od 213 členov pozemkového spoločenstva. 150,52 hlasov bolo platných vo všetkých uzneseniach a 2,33 hlasov bolo neplatných vo všetkých uzneseniach. Na prijatie uznesení na zasadnutí zhromaždenia pozemkového spoločenstva Urbár Bánovce, o ktorých hlasovali členovia pozemkového spoločenstva, je potrebná nadpolovičná väčšina hlasov členov pozemkového spoločenstva.</w:t>
      </w:r>
    </w:p>
    <w:p>
      <w:pPr>
        <w:pStyle w:val="BodyText"/>
        <w:ind w:left="0"/>
      </w:pPr>
    </w:p>
    <w:p>
      <w:pPr>
        <w:pStyle w:val="BodyText"/>
        <w:spacing w:line="480" w:lineRule="auto"/>
        <w:ind w:right="4368"/>
      </w:pPr>
      <w:r>
        <w:rPr/>
        <w:t>Výsledky hlasovania o navrhnutých uzneseniach: Uznesenie č. 1/2022</w:t>
      </w:r>
    </w:p>
    <w:p>
      <w:pPr>
        <w:spacing w:after="0" w:line="480" w:lineRule="auto"/>
        <w:sectPr>
          <w:headerReference w:type="default" r:id="rId5"/>
          <w:footerReference w:type="default" r:id="rId6"/>
          <w:type w:val="continuous"/>
          <w:pgSz w:w="11910" w:h="16840"/>
          <w:pgMar w:header="967" w:footer="1000" w:top="1400" w:bottom="1200" w:left="1300" w:right="1360"/>
          <w:pgNumType w:start="1"/>
        </w:sectPr>
      </w:pPr>
    </w:p>
    <w:p>
      <w:pPr>
        <w:pStyle w:val="BodyText"/>
        <w:spacing w:before="80"/>
      </w:pPr>
      <w:r>
        <w:rPr/>
        <w:t>Zhromaždenie schvaľuje ročnú účtovnú závierku spoločenstva za účtovné obdobie 2021.</w:t>
      </w:r>
    </w:p>
    <w:p>
      <w:pPr>
        <w:pStyle w:val="BodyText"/>
        <w:spacing w:before="8"/>
        <w:ind w:left="0"/>
        <w:rPr>
          <w:sz w:val="27"/>
        </w:rPr>
      </w:pPr>
    </w:p>
    <w:p>
      <w:pPr>
        <w:pStyle w:val="BodyText"/>
      </w:pPr>
      <w:r>
        <w:rPr/>
        <w:t>,,ZA“ hlasovalo 148,84 hlasov, čo predstavuje 62,0 % z celkového počtu hlasov</w:t>
      </w:r>
    </w:p>
    <w:p>
      <w:pPr>
        <w:pStyle w:val="BodyText"/>
      </w:pPr>
      <w:r>
        <w:rPr/>
        <w:t>,,PROTI“ hlasovalo 0 hlasov, čo predstavuje 0,0 % z celkového počtu hlasov</w:t>
      </w:r>
    </w:p>
    <w:p>
      <w:pPr>
        <w:pStyle w:val="BodyText"/>
        <w:ind w:right="802"/>
      </w:pPr>
      <w:r>
        <w:rPr/>
        <w:t>,,ZDRŽAL SA“ hlasovalo 1,68 hlasov, čo predstavuje 0,7 % z celkového počtu hlasov Uznesenie bolo prijaté.</w:t>
      </w:r>
    </w:p>
    <w:p>
      <w:pPr>
        <w:pStyle w:val="BodyText"/>
        <w:ind w:left="0"/>
      </w:pPr>
    </w:p>
    <w:p>
      <w:pPr>
        <w:pStyle w:val="BodyText"/>
      </w:pPr>
      <w:r>
        <w:rPr/>
        <w:t>Uznesenie č. 2/2022</w:t>
      </w:r>
    </w:p>
    <w:p>
      <w:pPr>
        <w:pStyle w:val="BodyText"/>
        <w:spacing w:line="259" w:lineRule="auto" w:before="22"/>
        <w:ind w:right="269"/>
      </w:pPr>
      <w:r>
        <w:rPr/>
        <w:t>Zhromaždenie schvaľuje vyplatenie podielov na hospodárskom výsledku za rok 2021 v celkovej výške 14400 €, čo zodpovedá sume 60 € na jeden podiel. Zhromaždenie schvaľuje vyplatenie nerozdeleného zisku za obdobie rokov 2014 až 2020 v celkovej výške 4800 €, čo predstavuje sumu 20 € na jeden podiel.</w:t>
      </w:r>
    </w:p>
    <w:p>
      <w:pPr>
        <w:pStyle w:val="BodyText"/>
        <w:spacing w:before="9"/>
        <w:ind w:left="0"/>
        <w:rPr>
          <w:sz w:val="25"/>
        </w:rPr>
      </w:pPr>
    </w:p>
    <w:p>
      <w:pPr>
        <w:pStyle w:val="BodyText"/>
      </w:pPr>
      <w:r>
        <w:rPr/>
        <w:t>,,ZA“ hlasovalo 150,02 hlasov, čo predstavuje 62,5 % z celkového počtu hlasov</w:t>
      </w:r>
    </w:p>
    <w:p>
      <w:pPr>
        <w:pStyle w:val="BodyText"/>
      </w:pPr>
      <w:r>
        <w:rPr/>
        <w:t>,,PROTI“ hlasovalo 0 hlasov, čo predstavuje 0,00 % z celkového počtu hlasov</w:t>
      </w:r>
    </w:p>
    <w:p>
      <w:pPr>
        <w:pStyle w:val="BodyText"/>
        <w:ind w:right="982"/>
      </w:pPr>
      <w:r>
        <w:rPr/>
        <w:t>,,ZDRŽAL SA“ hlasovalo 0,5 hlasov, čo predstavuje 0,2% z celkového počtu hlasov Uznesenie bolo prijaté.</w:t>
      </w:r>
    </w:p>
    <w:p>
      <w:pPr>
        <w:pStyle w:val="BodyText"/>
        <w:spacing w:before="10"/>
        <w:ind w:left="0"/>
        <w:rPr>
          <w:sz w:val="25"/>
        </w:rPr>
      </w:pPr>
    </w:p>
    <w:p>
      <w:pPr>
        <w:pStyle w:val="BodyText"/>
      </w:pPr>
      <w:r>
        <w:rPr/>
        <w:t>Uznesenie č. 3/2022</w:t>
      </w:r>
    </w:p>
    <w:p>
      <w:pPr>
        <w:pStyle w:val="BodyText"/>
        <w:spacing w:before="24"/>
      </w:pPr>
      <w:r>
        <w:rPr/>
        <w:t>Zhromaždenie schvaľuje návrh plánu hospodárenia na rok 2022.</w:t>
      </w:r>
    </w:p>
    <w:p>
      <w:pPr>
        <w:pStyle w:val="BodyText"/>
        <w:spacing w:before="9"/>
        <w:ind w:left="0"/>
        <w:rPr>
          <w:sz w:val="27"/>
        </w:rPr>
      </w:pPr>
    </w:p>
    <w:p>
      <w:pPr>
        <w:pStyle w:val="BodyText"/>
      </w:pPr>
      <w:r>
        <w:rPr/>
        <w:t>,,ZA“ hlasovalo 150,02 hlasov, čo predstavuje 62,5 % z celkového počtu hlasov</w:t>
      </w:r>
    </w:p>
    <w:p>
      <w:pPr>
        <w:pStyle w:val="BodyText"/>
      </w:pPr>
      <w:r>
        <w:rPr/>
        <w:t>,,PROTI“ hlasovalo 0 hlasov, čo predstavuje 0,0 % z celkového počtu hlasov</w:t>
      </w:r>
    </w:p>
    <w:p>
      <w:pPr>
        <w:pStyle w:val="BodyText"/>
        <w:ind w:right="922"/>
      </w:pPr>
      <w:r>
        <w:rPr/>
        <w:t>,,ZDRŽAL SA“ hlasovalo 0,5 hlasov, čo predstavuje 0,2 % z celkového počtu hlasov Uznesenie bolo prijaté.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spacing w:before="230"/>
      </w:pPr>
      <w:r>
        <w:rPr/>
        <w:t>Zapísal: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2"/>
        </w:rPr>
      </w:pPr>
    </w:p>
    <w:p>
      <w:pPr>
        <w:pStyle w:val="BodyText"/>
        <w:spacing w:before="1"/>
      </w:pPr>
      <w:r>
        <w:rPr/>
        <w:t>..........................................................</w:t>
      </w:r>
    </w:p>
    <w:p>
      <w:pPr>
        <w:pStyle w:val="BodyText"/>
      </w:pPr>
      <w:r>
        <w:rPr/>
        <w:t>predseda UBPS Ľubomír Janáč</w:t>
      </w:r>
      <w:r>
        <w:rPr>
          <w:spacing w:val="-9"/>
        </w:rPr>
        <w:t> </w:t>
      </w:r>
      <w:r>
        <w:rPr/>
        <w:t>v.r.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2"/>
        </w:rPr>
      </w:pPr>
    </w:p>
    <w:p>
      <w:pPr>
        <w:pStyle w:val="BodyText"/>
      </w:pPr>
      <w:r>
        <w:rPr/>
        <w:t>Overil: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2"/>
        </w:rPr>
      </w:pPr>
    </w:p>
    <w:p>
      <w:pPr>
        <w:pStyle w:val="BodyText"/>
      </w:pPr>
      <w:r>
        <w:rPr/>
        <w:t>..................................................  ................................................ </w:t>
      </w:r>
      <w:r>
        <w:rPr>
          <w:spacing w:val="1"/>
        </w:rPr>
        <w:t> </w:t>
      </w:r>
      <w:r>
        <w:rPr/>
        <w:t>................................................</w:t>
      </w:r>
    </w:p>
    <w:p>
      <w:pPr>
        <w:pStyle w:val="BodyText"/>
        <w:tabs>
          <w:tab w:pos="3268" w:val="left" w:leader="none"/>
          <w:tab w:pos="6263" w:val="left" w:leader="none"/>
        </w:tabs>
      </w:pPr>
      <w:r>
        <w:rPr/>
        <w:t>predseda DR Eva</w:t>
      </w:r>
      <w:r>
        <w:rPr>
          <w:spacing w:val="-5"/>
        </w:rPr>
        <w:t> </w:t>
      </w:r>
      <w:r>
        <w:rPr/>
        <w:t>Mojtová</w:t>
      </w:r>
      <w:r>
        <w:rPr>
          <w:spacing w:val="-2"/>
        </w:rPr>
        <w:t> </w:t>
      </w:r>
      <w:r>
        <w:rPr/>
        <w:t>v.r.</w:t>
        <w:tab/>
        <w:t>člen DR Anna</w:t>
      </w:r>
      <w:r>
        <w:rPr>
          <w:spacing w:val="-7"/>
        </w:rPr>
        <w:t> </w:t>
      </w:r>
      <w:r>
        <w:rPr/>
        <w:t>Sikelová</w:t>
      </w:r>
      <w:r>
        <w:rPr>
          <w:spacing w:val="-2"/>
        </w:rPr>
        <w:t> </w:t>
      </w:r>
      <w:r>
        <w:rPr/>
        <w:t>v.r.</w:t>
        <w:tab/>
        <w:t>člen DR Viera Bitarovská</w:t>
      </w:r>
      <w:r>
        <w:rPr>
          <w:spacing w:val="-7"/>
        </w:rPr>
        <w:t> </w:t>
      </w:r>
      <w:r>
        <w:rPr/>
        <w:t>v.r.</w:t>
      </w:r>
    </w:p>
    <w:p>
      <w:pPr>
        <w:pStyle w:val="BodyText"/>
        <w:ind w:left="0"/>
        <w:rPr>
          <w:sz w:val="26"/>
        </w:rPr>
      </w:pPr>
    </w:p>
    <w:p>
      <w:pPr>
        <w:pStyle w:val="BodyText"/>
        <w:ind w:left="0"/>
        <w:rPr>
          <w:sz w:val="26"/>
        </w:rPr>
      </w:pPr>
    </w:p>
    <w:p>
      <w:pPr>
        <w:pStyle w:val="BodyText"/>
        <w:tabs>
          <w:tab w:pos="4436" w:val="left" w:leader="none"/>
        </w:tabs>
        <w:spacing w:before="230"/>
      </w:pPr>
      <w:r>
        <w:rPr/>
        <w:t>.............................................................</w:t>
        <w:tab/>
        <w:t>.........................................................................</w:t>
      </w:r>
    </w:p>
    <w:p>
      <w:pPr>
        <w:pStyle w:val="BodyText"/>
        <w:tabs>
          <w:tab w:pos="4484" w:val="left" w:leader="none"/>
        </w:tabs>
      </w:pPr>
      <w:r>
        <w:rPr/>
        <w:t>člen výboru UBPS František</w:t>
      </w:r>
      <w:r>
        <w:rPr>
          <w:spacing w:val="-11"/>
        </w:rPr>
        <w:t> </w:t>
      </w:r>
      <w:r>
        <w:rPr/>
        <w:t>Ďuriš</w:t>
      </w:r>
      <w:r>
        <w:rPr>
          <w:spacing w:val="-3"/>
        </w:rPr>
        <w:t> </w:t>
      </w:r>
      <w:r>
        <w:rPr/>
        <w:t>v.r.</w:t>
        <w:tab/>
        <w:t>člen výboru UBPS Ing. Vladimír Miština</w:t>
      </w:r>
      <w:r>
        <w:rPr>
          <w:spacing w:val="-18"/>
        </w:rPr>
        <w:t> </w:t>
      </w:r>
      <w:r>
        <w:rPr/>
        <w:t>v.r.</w:t>
      </w:r>
    </w:p>
    <w:sectPr>
      <w:pgSz w:w="11910" w:h="16840"/>
      <w:pgMar w:header="967" w:footer="1000" w:top="1400" w:bottom="1200" w:left="1300" w:right="1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 style="position:absolute;margin-left:291.890015pt;margin-top:780.919983pt;width:11.6pt;height:13.05pt;mso-position-horizontal-relative:page;mso-position-vertical-relative:page;z-index:-251761664" type="#_x0000_t202" filled="false" stroked="false">
          <v:textbox inset="0,0,0,0">
            <w:txbxContent>
              <w:p>
                <w:pPr>
                  <w:spacing w:line="245" w:lineRule="exact" w:before="0"/>
                  <w:ind w:left="60" w:right="0" w:firstLine="0"/>
                  <w:jc w:val="left"/>
                  <w:rPr>
                    <w:rFonts w:ascii="Calibri"/>
                    <w:sz w:val="22"/>
                  </w:rPr>
                </w:pPr>
                <w:r>
                  <w:rPr/>
                  <w:fldChar w:fldCharType="begin"/>
                </w:r>
                <w:r>
                  <w:rPr>
                    <w:rFonts w:ascii="Calibri"/>
                    <w:color w:val="4471C4"/>
                    <w:w w:val="100"/>
                    <w:sz w:val="22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72.584pt;margin-top:47.362091pt;width:408.35pt;height:14.25pt;mso-position-horizontal-relative:page;mso-position-vertical-relative:page;z-index:-251762688" type="#_x0000_t202" filled="false" stroked="false">
          <v:textbox inset="0,0,0,0">
            <w:txbxContent>
              <w:p>
                <w:pPr>
                  <w:spacing w:before="11"/>
                  <w:ind w:left="20" w:right="0" w:firstLine="0"/>
                  <w:jc w:val="left"/>
                  <w:rPr>
                    <w:sz w:val="22"/>
                  </w:rPr>
                </w:pPr>
                <w:r>
                  <w:rPr>
                    <w:sz w:val="22"/>
                  </w:rPr>
                  <w:t>Urbár Bánovce, pozem. spol., Farská 464/3, 957 01 Bánovce nad Bebravou, IČO: 42373034</w:t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356" w:hanging="240"/>
        <w:jc w:val="left"/>
      </w:pPr>
      <w:rPr>
        <w:rFonts w:hint="default" w:ascii="Times New Roman" w:hAnsi="Times New Roman" w:eastAsia="Times New Roman" w:cs="Times New Roman"/>
        <w:spacing w:val="-2"/>
        <w:w w:val="100"/>
        <w:sz w:val="24"/>
        <w:szCs w:val="24"/>
        <w:lang w:val="cs-CZ" w:eastAsia="cs-CZ" w:bidi="cs-CZ"/>
      </w:rPr>
    </w:lvl>
    <w:lvl w:ilvl="1">
      <w:start w:val="0"/>
      <w:numFmt w:val="bullet"/>
      <w:lvlText w:val="•"/>
      <w:lvlJc w:val="left"/>
      <w:pPr>
        <w:ind w:left="1248" w:hanging="240"/>
      </w:pPr>
      <w:rPr>
        <w:rFonts w:hint="default"/>
        <w:lang w:val="cs-CZ" w:eastAsia="cs-CZ" w:bidi="cs-CZ"/>
      </w:rPr>
    </w:lvl>
    <w:lvl w:ilvl="2">
      <w:start w:val="0"/>
      <w:numFmt w:val="bullet"/>
      <w:lvlText w:val="•"/>
      <w:lvlJc w:val="left"/>
      <w:pPr>
        <w:ind w:left="2137" w:hanging="240"/>
      </w:pPr>
      <w:rPr>
        <w:rFonts w:hint="default"/>
        <w:lang w:val="cs-CZ" w:eastAsia="cs-CZ" w:bidi="cs-CZ"/>
      </w:rPr>
    </w:lvl>
    <w:lvl w:ilvl="3">
      <w:start w:val="0"/>
      <w:numFmt w:val="bullet"/>
      <w:lvlText w:val="•"/>
      <w:lvlJc w:val="left"/>
      <w:pPr>
        <w:ind w:left="3025" w:hanging="240"/>
      </w:pPr>
      <w:rPr>
        <w:rFonts w:hint="default"/>
        <w:lang w:val="cs-CZ" w:eastAsia="cs-CZ" w:bidi="cs-CZ"/>
      </w:rPr>
    </w:lvl>
    <w:lvl w:ilvl="4">
      <w:start w:val="0"/>
      <w:numFmt w:val="bullet"/>
      <w:lvlText w:val="•"/>
      <w:lvlJc w:val="left"/>
      <w:pPr>
        <w:ind w:left="3914" w:hanging="240"/>
      </w:pPr>
      <w:rPr>
        <w:rFonts w:hint="default"/>
        <w:lang w:val="cs-CZ" w:eastAsia="cs-CZ" w:bidi="cs-CZ"/>
      </w:rPr>
    </w:lvl>
    <w:lvl w:ilvl="5">
      <w:start w:val="0"/>
      <w:numFmt w:val="bullet"/>
      <w:lvlText w:val="•"/>
      <w:lvlJc w:val="left"/>
      <w:pPr>
        <w:ind w:left="4803" w:hanging="240"/>
      </w:pPr>
      <w:rPr>
        <w:rFonts w:hint="default"/>
        <w:lang w:val="cs-CZ" w:eastAsia="cs-CZ" w:bidi="cs-CZ"/>
      </w:rPr>
    </w:lvl>
    <w:lvl w:ilvl="6">
      <w:start w:val="0"/>
      <w:numFmt w:val="bullet"/>
      <w:lvlText w:val="•"/>
      <w:lvlJc w:val="left"/>
      <w:pPr>
        <w:ind w:left="5691" w:hanging="240"/>
      </w:pPr>
      <w:rPr>
        <w:rFonts w:hint="default"/>
        <w:lang w:val="cs-CZ" w:eastAsia="cs-CZ" w:bidi="cs-CZ"/>
      </w:rPr>
    </w:lvl>
    <w:lvl w:ilvl="7">
      <w:start w:val="0"/>
      <w:numFmt w:val="bullet"/>
      <w:lvlText w:val="•"/>
      <w:lvlJc w:val="left"/>
      <w:pPr>
        <w:ind w:left="6580" w:hanging="240"/>
      </w:pPr>
      <w:rPr>
        <w:rFonts w:hint="default"/>
        <w:lang w:val="cs-CZ" w:eastAsia="cs-CZ" w:bidi="cs-CZ"/>
      </w:rPr>
    </w:lvl>
    <w:lvl w:ilvl="8">
      <w:start w:val="0"/>
      <w:numFmt w:val="bullet"/>
      <w:lvlText w:val="•"/>
      <w:lvlJc w:val="left"/>
      <w:pPr>
        <w:ind w:left="7469" w:hanging="240"/>
      </w:pPr>
      <w:rPr>
        <w:rFonts w:hint="default"/>
        <w:lang w:val="cs-CZ" w:eastAsia="cs-CZ" w:bidi="cs-CZ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cs-CZ" w:eastAsia="cs-CZ" w:bidi="cs-CZ"/>
    </w:rPr>
  </w:style>
  <w:style w:styleId="BodyText" w:type="paragraph">
    <w:name w:val="Body Text"/>
    <w:basedOn w:val="Normal"/>
    <w:uiPriority w:val="1"/>
    <w:qFormat/>
    <w:pPr>
      <w:ind w:left="116"/>
    </w:pPr>
    <w:rPr>
      <w:rFonts w:ascii="Times New Roman" w:hAnsi="Times New Roman" w:eastAsia="Times New Roman" w:cs="Times New Roman"/>
      <w:sz w:val="24"/>
      <w:szCs w:val="24"/>
      <w:lang w:val="cs-CZ" w:eastAsia="cs-CZ" w:bidi="cs-CZ"/>
    </w:rPr>
  </w:style>
  <w:style w:styleId="ListParagraph" w:type="paragraph">
    <w:name w:val="List Paragraph"/>
    <w:basedOn w:val="Normal"/>
    <w:uiPriority w:val="1"/>
    <w:qFormat/>
    <w:pPr>
      <w:spacing w:before="48"/>
      <w:ind w:left="356" w:hanging="241"/>
    </w:pPr>
    <w:rPr>
      <w:rFonts w:ascii="Times New Roman" w:hAnsi="Times New Roman" w:eastAsia="Times New Roman" w:cs="Times New Roman"/>
      <w:lang w:val="cs-CZ" w:eastAsia="cs-CZ" w:bidi="cs-CZ"/>
    </w:rPr>
  </w:style>
  <w:style w:styleId="TableParagraph" w:type="paragraph">
    <w:name w:val="Table Paragraph"/>
    <w:basedOn w:val="Normal"/>
    <w:uiPriority w:val="1"/>
    <w:qFormat/>
    <w:pPr/>
    <w:rPr>
      <w:lang w:val="cs-CZ" w:eastAsia="cs-CZ" w:bidi="cs-CZ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s://urbar-banovce.sk/podklady-korespondencneho-hlasovania/" TargetMode="External"/><Relationship Id="rId8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Lubomir Janac</dc:creator>
  <dcterms:created xsi:type="dcterms:W3CDTF">2022-12-09T06:36:57Z</dcterms:created>
  <dcterms:modified xsi:type="dcterms:W3CDTF">2022-12-09T06:36:57Z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2022-12-09T00:00:00Z</vt:filetime>
  </property>
</Properties>
</file>